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蚌埠医学院年博士研究生引进待遇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931"/>
        <w:gridCol w:w="992"/>
        <w:gridCol w:w="992"/>
        <w:gridCol w:w="992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93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条      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安家费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科研启动经费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93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自然/工程类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</w:rPr>
              <w:t>人文社科类</w:t>
            </w:r>
          </w:p>
        </w:tc>
        <w:tc>
          <w:tcPr>
            <w:tcW w:w="179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675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A类</w:t>
            </w:r>
          </w:p>
        </w:tc>
        <w:tc>
          <w:tcPr>
            <w:tcW w:w="8931" w:type="dxa"/>
            <w:shd w:val="clear" w:color="auto" w:fill="auto"/>
            <w:vAlign w:val="center"/>
          </w:tcPr>
          <w:p>
            <w:pPr>
              <w:spacing w:line="2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1.“双一流”大学或“双一流”建设学科的高校博士毕业生；</w:t>
            </w:r>
          </w:p>
          <w:p>
            <w:pPr>
              <w:spacing w:line="2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2.发表本专业SCI论文累计影响因子15.0以上（其中影响因子5.0及以上且中科院分区为I区论文不少于一篇）或单篇影响因子8.0及以上，论文须为第一作者或通讯作者；</w:t>
            </w:r>
          </w:p>
          <w:p>
            <w:pPr>
              <w:spacing w:line="2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3.（人文社科类）满足下列条件之一：</w:t>
            </w:r>
          </w:p>
          <w:p>
            <w:pPr>
              <w:spacing w:line="2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（1）第一作者在《中国社会科学》《求是》《马克思主义研究》《历史研究》《哲学研究》《经济研究》等刊物发表论文</w:t>
            </w:r>
            <w:r>
              <w:rPr>
                <w:rFonts w:ascii="仿宋" w:hAnsi="仿宋" w:eastAsia="仿宋"/>
                <w:szCs w:val="21"/>
              </w:rPr>
              <w:t>1</w:t>
            </w:r>
            <w:r>
              <w:rPr>
                <w:rFonts w:hint="eastAsia" w:ascii="仿宋" w:hAnsi="仿宋" w:eastAsia="仿宋"/>
                <w:szCs w:val="21"/>
              </w:rPr>
              <w:t>篇以上；</w:t>
            </w:r>
          </w:p>
          <w:p>
            <w:pPr>
              <w:spacing w:line="2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（2）第一作者在CSSCI来源期刊（不含扩展版）发表论文5篇以上（若在</w:t>
            </w:r>
            <w:r>
              <w:rPr>
                <w:rFonts w:ascii="仿宋" w:hAnsi="仿宋" w:eastAsia="仿宋"/>
                <w:szCs w:val="21"/>
              </w:rPr>
              <w:t>SSCI等国际检索收录的期刊</w:t>
            </w:r>
            <w:r>
              <w:rPr>
                <w:rFonts w:hint="eastAsia" w:ascii="仿宋" w:hAnsi="仿宋" w:eastAsia="仿宋"/>
                <w:szCs w:val="21"/>
              </w:rPr>
              <w:t>发表论文则</w:t>
            </w:r>
            <w:r>
              <w:rPr>
                <w:rFonts w:ascii="仿宋" w:hAnsi="仿宋" w:eastAsia="仿宋"/>
                <w:szCs w:val="21"/>
              </w:rPr>
              <w:t>比照CSSCI相关标准执行</w:t>
            </w:r>
            <w:r>
              <w:rPr>
                <w:rFonts w:hint="eastAsia" w:ascii="仿宋" w:hAnsi="仿宋" w:eastAsia="仿宋"/>
                <w:szCs w:val="21"/>
              </w:rPr>
              <w:t>，具体数量要求面议）；</w:t>
            </w:r>
          </w:p>
          <w:p>
            <w:pPr>
              <w:spacing w:line="2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（3）第一作者发表论文被《新华文摘》全文转载</w:t>
            </w:r>
            <w:r>
              <w:rPr>
                <w:rFonts w:ascii="仿宋" w:hAnsi="仿宋" w:eastAsia="仿宋"/>
                <w:szCs w:val="21"/>
              </w:rPr>
              <w:t>1</w:t>
            </w:r>
            <w:r>
              <w:rPr>
                <w:rFonts w:hint="eastAsia" w:ascii="仿宋" w:hAnsi="仿宋" w:eastAsia="仿宋"/>
                <w:szCs w:val="21"/>
              </w:rPr>
              <w:t>篇以上。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60万元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200万元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10万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1.服务期为8年，安家费在服务期内按年陆续发放。</w:t>
            </w:r>
          </w:p>
          <w:p>
            <w:pPr>
              <w:spacing w:line="2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2.启动经费须以项目为载体，专项用于科研。</w:t>
            </w:r>
          </w:p>
          <w:p>
            <w:pPr>
              <w:spacing w:line="2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3.未具备高级职称者校内待遇按副高职称标准享受，享受时间为3年；</w:t>
            </w:r>
          </w:p>
          <w:p>
            <w:pPr>
              <w:spacing w:line="2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4.协助解决配偶工作及子女落户、入学。</w:t>
            </w:r>
          </w:p>
          <w:p>
            <w:pPr>
              <w:spacing w:line="2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5.工作笔记本电脑一台。</w:t>
            </w:r>
          </w:p>
          <w:p>
            <w:pPr>
              <w:spacing w:line="2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6.住房补贴800元/月、三年。</w:t>
            </w:r>
          </w:p>
          <w:p>
            <w:pPr>
              <w:spacing w:line="2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7.获得医学博士的博士研究生安家费在同类水平的基础上上浮20%。</w:t>
            </w:r>
          </w:p>
          <w:p>
            <w:pPr>
              <w:spacing w:line="2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8.业绩要求：所有业绩均为近五年以来的。</w:t>
            </w:r>
          </w:p>
          <w:p>
            <w:pPr>
              <w:spacing w:line="26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9.实施聘期考核。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67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B类</w:t>
            </w:r>
          </w:p>
        </w:tc>
        <w:tc>
          <w:tcPr>
            <w:tcW w:w="8931" w:type="dxa"/>
            <w:shd w:val="clear" w:color="auto" w:fill="auto"/>
            <w:vAlign w:val="center"/>
          </w:tcPr>
          <w:p>
            <w:pPr>
              <w:spacing w:line="2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1.“双一流”大学或“双一流”建设学科的高校博士毕业生；</w:t>
            </w:r>
          </w:p>
          <w:p>
            <w:pPr>
              <w:spacing w:line="220" w:lineRule="exact"/>
              <w:ind w:left="210" w:hanging="210" w:hanging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2.发表本专业SCI论文累计影响因子10.0以上（其中影响因子4.0分及以上或中科院分区为Ⅱ区论文不少于一篇）或单篇影响因子5.0及以上，论文须为第一作者或通讯作者；</w:t>
            </w:r>
          </w:p>
          <w:p>
            <w:pPr>
              <w:spacing w:line="220" w:lineRule="exact"/>
              <w:ind w:left="210" w:hanging="210" w:hanging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3.（人文社科类）满足下列条件之一：</w:t>
            </w:r>
          </w:p>
          <w:p>
            <w:pPr>
              <w:spacing w:line="220" w:lineRule="exact"/>
              <w:ind w:left="210" w:hanging="210" w:hanging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（1）第一作者在C</w:t>
            </w:r>
            <w:r>
              <w:rPr>
                <w:rFonts w:ascii="仿宋" w:hAnsi="仿宋" w:eastAsia="仿宋"/>
                <w:szCs w:val="21"/>
              </w:rPr>
              <w:t>SSCI</w:t>
            </w:r>
            <w:r>
              <w:rPr>
                <w:rFonts w:hint="eastAsia" w:ascii="仿宋" w:hAnsi="仿宋" w:eastAsia="仿宋"/>
                <w:szCs w:val="21"/>
              </w:rPr>
              <w:t>期刊（不含扩展版）发表论文</w:t>
            </w:r>
            <w:r>
              <w:rPr>
                <w:rFonts w:ascii="仿宋" w:hAnsi="仿宋" w:eastAsia="仿宋"/>
                <w:szCs w:val="21"/>
              </w:rPr>
              <w:t>3</w:t>
            </w:r>
            <w:r>
              <w:rPr>
                <w:rFonts w:hint="eastAsia" w:ascii="仿宋" w:hAnsi="仿宋" w:eastAsia="仿宋"/>
                <w:szCs w:val="21"/>
              </w:rPr>
              <w:t>篇以上（若在</w:t>
            </w:r>
            <w:r>
              <w:rPr>
                <w:rFonts w:ascii="仿宋" w:hAnsi="仿宋" w:eastAsia="仿宋"/>
                <w:szCs w:val="21"/>
              </w:rPr>
              <w:t>SSCI等国际检索收录的期刊</w:t>
            </w:r>
            <w:r>
              <w:rPr>
                <w:rFonts w:hint="eastAsia" w:ascii="仿宋" w:hAnsi="仿宋" w:eastAsia="仿宋"/>
                <w:szCs w:val="21"/>
              </w:rPr>
              <w:t>发表论文则</w:t>
            </w:r>
            <w:r>
              <w:rPr>
                <w:rFonts w:ascii="仿宋" w:hAnsi="仿宋" w:eastAsia="仿宋"/>
                <w:szCs w:val="21"/>
              </w:rPr>
              <w:t>比照CSSCI相关标准执行</w:t>
            </w:r>
            <w:r>
              <w:rPr>
                <w:rFonts w:hint="eastAsia" w:ascii="仿宋" w:hAnsi="仿宋" w:eastAsia="仿宋"/>
                <w:szCs w:val="21"/>
              </w:rPr>
              <w:t>，具体数量要求面议）；</w:t>
            </w:r>
          </w:p>
          <w:p>
            <w:pPr>
              <w:spacing w:line="220" w:lineRule="exact"/>
              <w:ind w:left="210" w:hanging="210" w:hanging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（2）第一作者发表论文被《人大复印报刊资料》全文转载</w:t>
            </w:r>
            <w:r>
              <w:rPr>
                <w:rFonts w:ascii="仿宋" w:hAnsi="仿宋" w:eastAsia="仿宋"/>
                <w:szCs w:val="21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篇以上。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50万元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100万元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8万</w:t>
            </w:r>
          </w:p>
        </w:tc>
        <w:tc>
          <w:tcPr>
            <w:tcW w:w="179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67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C类</w:t>
            </w:r>
          </w:p>
        </w:tc>
        <w:tc>
          <w:tcPr>
            <w:tcW w:w="8931" w:type="dxa"/>
            <w:shd w:val="clear" w:color="auto" w:fill="auto"/>
            <w:vAlign w:val="center"/>
          </w:tcPr>
          <w:p>
            <w:pPr>
              <w:spacing w:line="2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1“双一流”大学或“双一流”建设学科的高校博士毕业生；</w:t>
            </w:r>
          </w:p>
          <w:p>
            <w:pPr>
              <w:spacing w:line="2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2.发表本专业SCI论文累计影响因子8.0以上（其中一篇影响因子3.0及以上或中科院分区为Ⅲ区论文不少于一篇），论文须为第一作者或通讯作者；</w:t>
            </w:r>
          </w:p>
          <w:p>
            <w:pPr>
              <w:spacing w:line="220" w:lineRule="exact"/>
              <w:ind w:left="210" w:hanging="210" w:hanging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  <w:r>
              <w:rPr>
                <w:rFonts w:ascii="仿宋" w:hAnsi="仿宋" w:eastAsia="仿宋"/>
                <w:szCs w:val="21"/>
              </w:rPr>
              <w:t>.</w:t>
            </w:r>
            <w:r>
              <w:rPr>
                <w:rFonts w:hint="eastAsia" w:ascii="仿宋" w:hAnsi="仿宋" w:eastAsia="仿宋"/>
                <w:szCs w:val="21"/>
              </w:rPr>
              <w:t>（人文社科类）满足下列条件之一：</w:t>
            </w:r>
          </w:p>
          <w:p>
            <w:pPr>
              <w:spacing w:line="220" w:lineRule="exact"/>
              <w:ind w:left="210" w:hanging="210" w:hanging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（1）第一作者在C</w:t>
            </w:r>
            <w:r>
              <w:rPr>
                <w:rFonts w:ascii="仿宋" w:hAnsi="仿宋" w:eastAsia="仿宋"/>
                <w:szCs w:val="21"/>
              </w:rPr>
              <w:t>SSCI</w:t>
            </w:r>
            <w:r>
              <w:rPr>
                <w:rFonts w:hint="eastAsia" w:ascii="仿宋" w:hAnsi="仿宋" w:eastAsia="仿宋"/>
                <w:szCs w:val="21"/>
              </w:rPr>
              <w:t>期刊（不含扩展版）发表论文</w:t>
            </w:r>
            <w:r>
              <w:rPr>
                <w:rFonts w:ascii="仿宋" w:hAnsi="仿宋" w:eastAsia="仿宋"/>
                <w:szCs w:val="21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篇以上（若在</w:t>
            </w:r>
            <w:r>
              <w:rPr>
                <w:rFonts w:ascii="仿宋" w:hAnsi="仿宋" w:eastAsia="仿宋"/>
                <w:szCs w:val="21"/>
              </w:rPr>
              <w:t>SSCI等国际检索收录的期刊</w:t>
            </w:r>
            <w:r>
              <w:rPr>
                <w:rFonts w:hint="eastAsia" w:ascii="仿宋" w:hAnsi="仿宋" w:eastAsia="仿宋"/>
                <w:szCs w:val="21"/>
              </w:rPr>
              <w:t>发表论文则</w:t>
            </w:r>
            <w:r>
              <w:rPr>
                <w:rFonts w:ascii="仿宋" w:hAnsi="仿宋" w:eastAsia="仿宋"/>
                <w:szCs w:val="21"/>
              </w:rPr>
              <w:t>比照CSSCI相关标准执行</w:t>
            </w:r>
            <w:r>
              <w:rPr>
                <w:rFonts w:hint="eastAsia" w:ascii="仿宋" w:hAnsi="仿宋" w:eastAsia="仿宋"/>
                <w:szCs w:val="21"/>
              </w:rPr>
              <w:t>，具体数量要求面议）；</w:t>
            </w:r>
          </w:p>
          <w:p>
            <w:pPr>
              <w:spacing w:line="2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（2）第一作者发表论文被《人大复印报刊资料》全文转载</w:t>
            </w:r>
            <w:r>
              <w:rPr>
                <w:rFonts w:ascii="仿宋" w:hAnsi="仿宋" w:eastAsia="仿宋"/>
                <w:szCs w:val="21"/>
              </w:rPr>
              <w:t>1</w:t>
            </w:r>
            <w:r>
              <w:rPr>
                <w:rFonts w:hint="eastAsia" w:ascii="仿宋" w:hAnsi="仿宋" w:eastAsia="仿宋"/>
                <w:szCs w:val="21"/>
              </w:rPr>
              <w:t>篇以上。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45万元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30万元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6万</w:t>
            </w:r>
          </w:p>
        </w:tc>
        <w:tc>
          <w:tcPr>
            <w:tcW w:w="179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67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D类</w:t>
            </w:r>
          </w:p>
        </w:tc>
        <w:tc>
          <w:tcPr>
            <w:tcW w:w="8931" w:type="dxa"/>
            <w:shd w:val="clear" w:color="auto" w:fill="auto"/>
            <w:vAlign w:val="center"/>
          </w:tcPr>
          <w:p>
            <w:pPr>
              <w:spacing w:line="220" w:lineRule="exact"/>
              <w:ind w:firstLine="411" w:firstLineChars="196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博士研究生毕业，发表本专业SCI论文累计影响因子5.0以上，或单篇影响因子2.0及以上，论文须为第一作者或通讯作者。</w:t>
            </w:r>
          </w:p>
          <w:p>
            <w:pPr>
              <w:spacing w:line="220" w:lineRule="exact"/>
              <w:ind w:firstLine="411" w:firstLineChars="196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（人文社科类）博士研究生毕业，在CSSCI期刊（不含扩展版）发表论文1篇以上（若在</w:t>
            </w:r>
            <w:r>
              <w:rPr>
                <w:rFonts w:ascii="仿宋" w:hAnsi="仿宋" w:eastAsia="仿宋"/>
                <w:szCs w:val="21"/>
              </w:rPr>
              <w:t>SSCI等国际检索收录的期刊</w:t>
            </w:r>
            <w:r>
              <w:rPr>
                <w:rFonts w:hint="eastAsia" w:ascii="仿宋" w:hAnsi="仿宋" w:eastAsia="仿宋"/>
                <w:szCs w:val="21"/>
              </w:rPr>
              <w:t>发表论文则</w:t>
            </w:r>
            <w:r>
              <w:rPr>
                <w:rFonts w:ascii="仿宋" w:hAnsi="仿宋" w:eastAsia="仿宋"/>
                <w:szCs w:val="21"/>
              </w:rPr>
              <w:t>比照CSSCI相关标准执行</w:t>
            </w:r>
            <w:r>
              <w:rPr>
                <w:rFonts w:hint="eastAsia" w:ascii="仿宋" w:hAnsi="仿宋" w:eastAsia="仿宋"/>
                <w:szCs w:val="21"/>
              </w:rPr>
              <w:t>，具体数量要求面议），论文须为第一作者或通讯作者。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40万元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15万元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4万</w:t>
            </w:r>
          </w:p>
        </w:tc>
        <w:tc>
          <w:tcPr>
            <w:tcW w:w="179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67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E类</w:t>
            </w:r>
          </w:p>
        </w:tc>
        <w:tc>
          <w:tcPr>
            <w:tcW w:w="8931" w:type="dxa"/>
            <w:shd w:val="clear" w:color="auto" w:fill="auto"/>
            <w:vAlign w:val="center"/>
          </w:tcPr>
          <w:p>
            <w:pPr>
              <w:spacing w:line="220" w:lineRule="exact"/>
              <w:ind w:firstLine="411" w:firstLineChars="196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博士研究生毕业，在本专业领域权威期刊发表高水平学术论文1篇以上（须为第一作者或通讯作者）。</w:t>
            </w:r>
          </w:p>
          <w:p>
            <w:pPr>
              <w:spacing w:line="220" w:lineRule="exact"/>
              <w:ind w:firstLine="411" w:firstLineChars="196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（人文社科类）博士研究生毕业，在CSSCI期刊（扩展版）发表论文1篇以上，论文须为第一作者。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30万元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10万元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2万</w:t>
            </w:r>
          </w:p>
        </w:tc>
        <w:tc>
          <w:tcPr>
            <w:tcW w:w="1794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spacing w:line="360" w:lineRule="exact"/>
        <w:ind w:firstLine="480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备注：1.博士研究生入职后，报销来校（由毕业院校来我校或由住地来校）面试车票（来回）一次。</w:t>
      </w:r>
    </w:p>
    <w:p>
      <w:r>
        <w:rPr>
          <w:rFonts w:hint="eastAsia" w:ascii="仿宋" w:hAnsi="仿宋" w:eastAsia="仿宋"/>
          <w:b/>
          <w:sz w:val="24"/>
        </w:rPr>
        <w:t xml:space="preserve">          2.境外博士研究生（学历学位须经国家教育部认定）的待遇面议</w:t>
      </w:r>
    </w:p>
    <w:sectPr>
      <w:pgSz w:w="16838" w:h="11906" w:orient="landscape"/>
      <w:pgMar w:top="1276" w:right="1440" w:bottom="851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EF"/>
    <w:rsid w:val="000057EF"/>
    <w:rsid w:val="00054FCA"/>
    <w:rsid w:val="000B5450"/>
    <w:rsid w:val="001153CA"/>
    <w:rsid w:val="002878A1"/>
    <w:rsid w:val="00354D38"/>
    <w:rsid w:val="00440E26"/>
    <w:rsid w:val="00502FB2"/>
    <w:rsid w:val="00610A84"/>
    <w:rsid w:val="006C1E36"/>
    <w:rsid w:val="0075349C"/>
    <w:rsid w:val="00871287"/>
    <w:rsid w:val="00CA53BE"/>
    <w:rsid w:val="00D846F6"/>
    <w:rsid w:val="65A0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E6F4AE-C378-4EEB-8BE3-F1698F21FE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216</Words>
  <Characters>1232</Characters>
  <Lines>10</Lines>
  <Paragraphs>2</Paragraphs>
  <TotalTime>79</TotalTime>
  <ScaleCrop>false</ScaleCrop>
  <LinksUpToDate>false</LinksUpToDate>
  <CharactersWithSpaces>1446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2020-06-15T02:23:00Z</dcterms:created>
  <dc:creator>win</dc:creator>
  <cp:lastModifiedBy>yx3</cp:lastModifiedBy>
  <cp:lastPrinted>2020-06-16T01:26:00Z</cp:lastPrinted>
  <dcterms:modified xsi:type="dcterms:W3CDTF">2021-09-27T08:27:42Z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A881DFA0C0394A43ADB4D7565B31ACD1</vt:lpwstr>
  </property>
</Properties>
</file>