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pPr w:leftFromText="180" w:rightFromText="180" w:horzAnchor="margin" w:tblpX="119" w:tblpY="990"/>
        <w:tblW w:w="139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"/>
        <w:gridCol w:w="1037"/>
        <w:gridCol w:w="5318"/>
        <w:gridCol w:w="2141"/>
        <w:gridCol w:w="1063"/>
        <w:gridCol w:w="1132"/>
        <w:gridCol w:w="1759"/>
        <w:gridCol w:w="1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382" w:type="dxa"/>
          </w:tcPr>
          <w:p>
            <w:pPr>
              <w:rPr>
                <w:rFonts w:ascii="仿宋" w:hAnsi="仿宋" w:eastAsia="仿宋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kern w:val="0"/>
                <w:sz w:val="20"/>
                <w:szCs w:val="20"/>
              </w:rPr>
              <w:t>类别</w:t>
            </w:r>
          </w:p>
        </w:tc>
        <w:tc>
          <w:tcPr>
            <w:tcW w:w="1037" w:type="dxa"/>
          </w:tcPr>
          <w:p>
            <w:pPr>
              <w:rPr>
                <w:kern w:val="0"/>
                <w:sz w:val="20"/>
                <w:szCs w:val="20"/>
              </w:rPr>
            </w:pPr>
          </w:p>
          <w:p>
            <w:pPr>
              <w:rPr>
                <w:rFonts w:ascii="仿宋" w:hAnsi="仿宋" w:eastAsia="仿宋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kern w:val="0"/>
                <w:sz w:val="20"/>
                <w:szCs w:val="20"/>
              </w:rPr>
              <w:t>引进对象</w:t>
            </w:r>
          </w:p>
        </w:tc>
        <w:tc>
          <w:tcPr>
            <w:tcW w:w="5318" w:type="dxa"/>
          </w:tcPr>
          <w:p>
            <w:pPr>
              <w:ind w:firstLine="1305" w:firstLineChars="650"/>
              <w:rPr>
                <w:rFonts w:ascii="仿宋" w:hAnsi="仿宋" w:eastAsia="仿宋" w:cs="宋体"/>
                <w:b/>
                <w:bCs/>
                <w:kern w:val="0"/>
                <w:sz w:val="20"/>
                <w:szCs w:val="21"/>
              </w:rPr>
            </w:pPr>
          </w:p>
          <w:p>
            <w:pPr>
              <w:ind w:firstLine="1305" w:firstLineChars="650"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1"/>
              </w:rPr>
              <w:t>引 进 条 件</w:t>
            </w:r>
          </w:p>
        </w:tc>
        <w:tc>
          <w:tcPr>
            <w:tcW w:w="214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薪酬（工资</w:t>
            </w:r>
            <w:r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  <w:t>、校内基础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津贴</w:t>
            </w:r>
            <w:r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  <w:t>、博士专项津贴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等）</w:t>
            </w:r>
          </w:p>
        </w:tc>
        <w:tc>
          <w:tcPr>
            <w:tcW w:w="1063" w:type="dxa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1"/>
              </w:rPr>
              <w:t>科研配套</w:t>
            </w:r>
          </w:p>
          <w:p>
            <w:pPr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1"/>
              </w:rPr>
              <w:t>经费</w:t>
            </w:r>
          </w:p>
        </w:tc>
        <w:tc>
          <w:tcPr>
            <w:tcW w:w="1132" w:type="dxa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1"/>
              </w:rPr>
              <w:t>安家费</w:t>
            </w:r>
          </w:p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1"/>
              </w:rPr>
              <w:t>（免税）</w:t>
            </w:r>
          </w:p>
        </w:tc>
        <w:tc>
          <w:tcPr>
            <w:tcW w:w="1759" w:type="dxa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职称待遇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配偶工作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4" w:hRule="atLeast"/>
        </w:trPr>
        <w:tc>
          <w:tcPr>
            <w:tcW w:w="382" w:type="dxa"/>
            <w:vMerge w:val="restart"/>
          </w:tcPr>
          <w:p>
            <w:pPr>
              <w:rPr>
                <w:kern w:val="0"/>
                <w:sz w:val="20"/>
                <w:szCs w:val="20"/>
              </w:rPr>
            </w:pPr>
          </w:p>
          <w:p>
            <w:pPr>
              <w:rPr>
                <w:kern w:val="0"/>
                <w:sz w:val="20"/>
                <w:szCs w:val="20"/>
              </w:rPr>
            </w:pPr>
          </w:p>
          <w:p>
            <w:pPr>
              <w:rPr>
                <w:rFonts w:hint="eastAsia" w:ascii="仿宋" w:hAnsi="仿宋" w:eastAsia="仿宋"/>
                <w:b/>
                <w:kern w:val="0"/>
                <w:sz w:val="20"/>
                <w:szCs w:val="20"/>
              </w:rPr>
            </w:pPr>
          </w:p>
          <w:p>
            <w:pPr>
              <w:rPr>
                <w:rFonts w:hint="eastAsia" w:ascii="仿宋" w:hAnsi="仿宋" w:eastAsia="仿宋"/>
                <w:b/>
                <w:kern w:val="0"/>
                <w:sz w:val="20"/>
                <w:szCs w:val="20"/>
              </w:rPr>
            </w:pPr>
          </w:p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kern w:val="0"/>
                <w:sz w:val="20"/>
                <w:szCs w:val="20"/>
              </w:rPr>
              <w:t>入</w:t>
            </w:r>
            <w:r>
              <w:rPr>
                <w:rFonts w:ascii="仿宋" w:hAnsi="仿宋" w:eastAsia="仿宋"/>
                <w:b/>
                <w:kern w:val="0"/>
                <w:sz w:val="20"/>
                <w:szCs w:val="20"/>
              </w:rPr>
              <w:t>编制引进</w:t>
            </w:r>
          </w:p>
        </w:tc>
        <w:tc>
          <w:tcPr>
            <w:tcW w:w="1037" w:type="dxa"/>
          </w:tcPr>
          <w:p>
            <w:pPr>
              <w:rPr>
                <w:rFonts w:ascii="仿宋" w:hAnsi="仿宋" w:eastAsia="仿宋" w:cs="宋体"/>
                <w:kern w:val="0"/>
                <w:sz w:val="20"/>
                <w:szCs w:val="21"/>
              </w:rPr>
            </w:pPr>
          </w:p>
          <w:p>
            <w:pPr>
              <w:rPr>
                <w:rFonts w:ascii="仿宋" w:hAnsi="仿宋" w:eastAsia="仿宋" w:cs="宋体"/>
                <w:kern w:val="0"/>
                <w:sz w:val="20"/>
                <w:szCs w:val="21"/>
              </w:rPr>
            </w:pPr>
          </w:p>
          <w:p>
            <w:pPr>
              <w:rPr>
                <w:rFonts w:ascii="仿宋" w:hAnsi="仿宋" w:eastAsia="仿宋" w:cs="宋体"/>
                <w:kern w:val="0"/>
                <w:sz w:val="20"/>
                <w:szCs w:val="21"/>
              </w:rPr>
            </w:pPr>
          </w:p>
          <w:p>
            <w:pPr>
              <w:rPr>
                <w:rFonts w:ascii="仿宋" w:hAnsi="仿宋" w:eastAsia="仿宋" w:cs="宋体"/>
                <w:kern w:val="0"/>
                <w:sz w:val="20"/>
                <w:szCs w:val="21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第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五</w:t>
            </w: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层次</w:t>
            </w:r>
          </w:p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拔尖人才</w:t>
            </w:r>
          </w:p>
        </w:tc>
        <w:tc>
          <w:tcPr>
            <w:tcW w:w="5318" w:type="dxa"/>
          </w:tcPr>
          <w:p>
            <w:pPr>
              <w:rPr>
                <w:rFonts w:ascii="仿宋" w:hAnsi="仿宋" w:eastAsia="仿宋" w:cs="宋体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具有博士学历学位，年龄原则上不超过45周岁，同时符合下列条件之一：</w:t>
            </w:r>
          </w:p>
          <w:p>
            <w:pPr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.以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第一作者发表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核心期刊论文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篇，其中重要及以上核心期刊论文1篇。</w:t>
            </w:r>
          </w:p>
          <w:p>
            <w:pPr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2.省部级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教学成果三等奖获得者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（个人排名第一）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rPr>
                <w:rFonts w:ascii="仿宋" w:hAnsi="仿宋" w:eastAsia="仿宋" w:cs="宋体"/>
                <w:kern w:val="0"/>
                <w:sz w:val="20"/>
                <w:szCs w:val="21"/>
              </w:rPr>
            </w:pPr>
            <w:r>
              <w:rPr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省部级哲学社会科学优秀成果三等奖（个人排名第一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）；</w:t>
            </w:r>
          </w:p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4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.省部级</w:t>
            </w: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自然科学优秀学术论文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三等</w:t>
            </w: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奖(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个人排名第一</w:t>
            </w: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);</w:t>
            </w:r>
          </w:p>
        </w:tc>
        <w:tc>
          <w:tcPr>
            <w:tcW w:w="2141" w:type="dxa"/>
          </w:tcPr>
          <w:p>
            <w:pPr>
              <w:rPr>
                <w:rFonts w:ascii="仿宋" w:hAnsi="仿宋" w:eastAsia="仿宋" w:cs="宋体"/>
                <w:kern w:val="0"/>
                <w:sz w:val="20"/>
                <w:szCs w:val="21"/>
              </w:rPr>
            </w:pPr>
          </w:p>
          <w:p>
            <w:pPr>
              <w:rPr>
                <w:rFonts w:ascii="仿宋" w:hAnsi="仿宋" w:eastAsia="仿宋" w:cs="宋体"/>
                <w:kern w:val="0"/>
                <w:sz w:val="20"/>
                <w:szCs w:val="21"/>
              </w:rPr>
            </w:pPr>
          </w:p>
          <w:p>
            <w:pPr>
              <w:rPr>
                <w:rFonts w:ascii="仿宋" w:hAnsi="仿宋" w:eastAsia="仿宋" w:cs="宋体"/>
                <w:kern w:val="0"/>
                <w:sz w:val="20"/>
                <w:szCs w:val="21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17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万元起/年（博士专项津贴10万元）</w:t>
            </w:r>
          </w:p>
        </w:tc>
        <w:tc>
          <w:tcPr>
            <w:tcW w:w="1063" w:type="dxa"/>
          </w:tcPr>
          <w:p>
            <w:pPr>
              <w:ind w:firstLine="500" w:firstLineChars="250"/>
              <w:rPr>
                <w:rFonts w:ascii="仿宋" w:hAnsi="仿宋" w:eastAsia="仿宋" w:cs="宋体"/>
                <w:kern w:val="0"/>
                <w:sz w:val="20"/>
                <w:szCs w:val="21"/>
              </w:rPr>
            </w:pPr>
          </w:p>
          <w:p>
            <w:pPr>
              <w:ind w:firstLine="300" w:firstLineChars="150"/>
              <w:rPr>
                <w:rFonts w:ascii="仿宋" w:hAnsi="仿宋" w:eastAsia="仿宋" w:cs="宋体"/>
                <w:kern w:val="0"/>
                <w:sz w:val="20"/>
                <w:szCs w:val="21"/>
              </w:rPr>
            </w:pPr>
          </w:p>
          <w:p>
            <w:pPr>
              <w:ind w:firstLine="300" w:firstLineChars="150"/>
              <w:rPr>
                <w:rFonts w:ascii="仿宋" w:hAnsi="仿宋" w:eastAsia="仿宋" w:cs="宋体"/>
                <w:kern w:val="0"/>
                <w:sz w:val="20"/>
                <w:szCs w:val="21"/>
              </w:rPr>
            </w:pPr>
          </w:p>
          <w:p>
            <w:pPr>
              <w:rPr>
                <w:rFonts w:ascii="仿宋" w:hAnsi="仿宋" w:eastAsia="仿宋" w:cs="宋体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1</w:t>
            </w: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0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万元</w:t>
            </w:r>
          </w:p>
          <w:p>
            <w:pPr>
              <w:rPr>
                <w:rFonts w:ascii="仿宋" w:hAnsi="仿宋" w:eastAsia="仿宋" w:cs="宋体"/>
                <w:kern w:val="0"/>
                <w:sz w:val="20"/>
                <w:szCs w:val="21"/>
              </w:rPr>
            </w:pPr>
          </w:p>
        </w:tc>
        <w:tc>
          <w:tcPr>
            <w:tcW w:w="1132" w:type="dxa"/>
          </w:tcPr>
          <w:p>
            <w:pPr>
              <w:rPr>
                <w:rFonts w:ascii="仿宋" w:hAnsi="仿宋" w:eastAsia="仿宋"/>
                <w:kern w:val="0"/>
                <w:sz w:val="20"/>
                <w:szCs w:val="21"/>
              </w:rPr>
            </w:pPr>
          </w:p>
          <w:p>
            <w:pPr>
              <w:rPr>
                <w:rFonts w:ascii="仿宋" w:hAnsi="仿宋" w:eastAsia="仿宋"/>
                <w:kern w:val="0"/>
                <w:sz w:val="20"/>
                <w:szCs w:val="21"/>
              </w:rPr>
            </w:pPr>
          </w:p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</w:rPr>
              <w:t>入编后一次性提供住房补贴</w:t>
            </w:r>
            <w:r>
              <w:rPr>
                <w:rFonts w:ascii="仿宋" w:hAnsi="仿宋" w:eastAsia="仿宋"/>
                <w:kern w:val="0"/>
                <w:sz w:val="20"/>
                <w:szCs w:val="21"/>
              </w:rPr>
              <w:t>35</w:t>
            </w:r>
            <w:r>
              <w:rPr>
                <w:rFonts w:hint="eastAsia" w:ascii="仿宋" w:hAnsi="仿宋" w:eastAsia="仿宋"/>
                <w:kern w:val="0"/>
                <w:sz w:val="20"/>
                <w:szCs w:val="21"/>
              </w:rPr>
              <w:t>万元</w:t>
            </w:r>
          </w:p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759" w:type="dxa"/>
          </w:tcPr>
          <w:p>
            <w:pPr>
              <w:rPr>
                <w:rFonts w:ascii="仿宋" w:hAnsi="仿宋" w:eastAsia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具有</w:t>
            </w: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高级职称的，到校后即聘任为相应职称，无高级职称的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，工作</w:t>
            </w: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满一年经考核合格后，参加副教授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评审</w:t>
            </w: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，通过后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授予</w:t>
            </w: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资格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及正式</w:t>
            </w: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聘任</w:t>
            </w:r>
          </w:p>
        </w:tc>
        <w:tc>
          <w:tcPr>
            <w:tcW w:w="1159" w:type="dxa"/>
          </w:tcPr>
          <w:p>
            <w:pPr>
              <w:rPr>
                <w:rFonts w:ascii="仿宋" w:hAnsi="仿宋" w:eastAsia="仿宋"/>
                <w:kern w:val="0"/>
                <w:sz w:val="20"/>
                <w:szCs w:val="21"/>
              </w:rPr>
            </w:pPr>
          </w:p>
          <w:p>
            <w:pPr>
              <w:rPr>
                <w:rFonts w:ascii="仿宋" w:hAnsi="仿宋" w:eastAsia="仿宋"/>
                <w:kern w:val="0"/>
                <w:sz w:val="20"/>
                <w:szCs w:val="21"/>
              </w:rPr>
            </w:pPr>
          </w:p>
          <w:p>
            <w:pPr>
              <w:rPr>
                <w:rFonts w:ascii="仿宋" w:hAnsi="仿宋" w:eastAsia="仿宋"/>
                <w:kern w:val="0"/>
                <w:sz w:val="20"/>
                <w:szCs w:val="21"/>
              </w:rPr>
            </w:pPr>
          </w:p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</w:rPr>
              <w:t>配偶符合学校相关条件的，妥善解决</w:t>
            </w:r>
          </w:p>
          <w:p>
            <w:pPr>
              <w:rPr>
                <w:rFonts w:ascii="仿宋" w:hAnsi="仿宋" w:eastAsia="仿宋"/>
                <w:kern w:val="0"/>
                <w:sz w:val="20"/>
                <w:szCs w:val="21"/>
              </w:rPr>
            </w:pPr>
          </w:p>
          <w:p>
            <w:pPr>
              <w:rPr>
                <w:rFonts w:ascii="仿宋" w:hAnsi="仿宋" w:eastAsia="仿宋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0" w:hRule="atLeast"/>
        </w:trPr>
        <w:tc>
          <w:tcPr>
            <w:tcW w:w="382" w:type="dxa"/>
            <w:vMerge w:val="continue"/>
          </w:tcPr>
          <w:p>
            <w:pPr>
              <w:rPr>
                <w:rFonts w:ascii="仿宋" w:hAnsi="仿宋" w:eastAsia="仿宋"/>
                <w:b/>
                <w:kern w:val="0"/>
                <w:sz w:val="20"/>
                <w:szCs w:val="20"/>
              </w:rPr>
            </w:pPr>
          </w:p>
        </w:tc>
        <w:tc>
          <w:tcPr>
            <w:tcW w:w="1037" w:type="dxa"/>
          </w:tcPr>
          <w:p>
            <w:pPr>
              <w:rPr>
                <w:rFonts w:ascii="仿宋" w:hAnsi="仿宋" w:eastAsia="仿宋" w:cs="宋体"/>
                <w:kern w:val="0"/>
                <w:sz w:val="20"/>
                <w:szCs w:val="21"/>
              </w:rPr>
            </w:pPr>
          </w:p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第六层次优秀博士</w:t>
            </w:r>
          </w:p>
        </w:tc>
        <w:tc>
          <w:tcPr>
            <w:tcW w:w="5318" w:type="dxa"/>
          </w:tcPr>
          <w:p>
            <w:pPr>
              <w:rPr>
                <w:rFonts w:ascii="仿宋" w:hAnsi="仿宋" w:eastAsia="仿宋" w:cs="宋体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具有博士学历学位，年龄原则上不超过4</w:t>
            </w: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0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周岁，同时符合下列条件之一：</w:t>
            </w:r>
          </w:p>
          <w:p>
            <w:pPr>
              <w:rPr>
                <w:rFonts w:ascii="仿宋" w:hAnsi="仿宋" w:eastAsia="仿宋" w:cs="宋体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1.以</w:t>
            </w: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第一作者发表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核心</w:t>
            </w: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期刊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论文2篇；</w:t>
            </w:r>
          </w:p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.海外</w:t>
            </w: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留学博士需取得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教育部</w:t>
            </w: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认证的博士学历学位证书，并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以</w:t>
            </w: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第一作者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发表</w:t>
            </w: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留学国家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认证</w:t>
            </w: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的核心期刊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论文2篇；</w:t>
            </w:r>
          </w:p>
        </w:tc>
        <w:tc>
          <w:tcPr>
            <w:tcW w:w="2141" w:type="dxa"/>
          </w:tcPr>
          <w:p>
            <w:pPr>
              <w:rPr>
                <w:rFonts w:ascii="仿宋" w:hAnsi="仿宋" w:eastAsia="仿宋" w:cs="宋体"/>
                <w:kern w:val="0"/>
                <w:sz w:val="20"/>
                <w:szCs w:val="21"/>
              </w:rPr>
            </w:pPr>
          </w:p>
          <w:p>
            <w:pPr>
              <w:rPr>
                <w:rFonts w:ascii="仿宋" w:hAnsi="仿宋" w:eastAsia="仿宋" w:cs="宋体"/>
                <w:kern w:val="0"/>
                <w:sz w:val="20"/>
                <w:szCs w:val="21"/>
              </w:rPr>
            </w:pPr>
          </w:p>
          <w:p>
            <w:pPr>
              <w:rPr>
                <w:rFonts w:ascii="仿宋" w:hAnsi="仿宋" w:eastAsia="仿宋" w:cs="宋体"/>
                <w:kern w:val="0"/>
                <w:sz w:val="20"/>
                <w:szCs w:val="21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15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万元起/年（博士</w:t>
            </w: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专项津贴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8万元）</w:t>
            </w:r>
          </w:p>
        </w:tc>
        <w:tc>
          <w:tcPr>
            <w:tcW w:w="1063" w:type="dxa"/>
          </w:tcPr>
          <w:p>
            <w:pPr>
              <w:rPr>
                <w:rFonts w:ascii="仿宋" w:hAnsi="仿宋" w:eastAsia="仿宋" w:cs="宋体"/>
                <w:kern w:val="0"/>
                <w:sz w:val="20"/>
                <w:szCs w:val="21"/>
              </w:rPr>
            </w:pPr>
          </w:p>
          <w:p>
            <w:pPr>
              <w:rPr>
                <w:rFonts w:ascii="仿宋" w:hAnsi="仿宋" w:eastAsia="仿宋" w:cs="宋体"/>
                <w:kern w:val="0"/>
                <w:sz w:val="20"/>
                <w:szCs w:val="21"/>
              </w:rPr>
            </w:pPr>
          </w:p>
          <w:p>
            <w:pPr>
              <w:rPr>
                <w:rFonts w:ascii="仿宋" w:hAnsi="仿宋" w:eastAsia="仿宋" w:cs="宋体"/>
                <w:kern w:val="0"/>
                <w:sz w:val="20"/>
                <w:szCs w:val="21"/>
              </w:rPr>
            </w:pPr>
          </w:p>
          <w:p>
            <w:pPr>
              <w:rPr>
                <w:rFonts w:ascii="仿宋" w:hAnsi="仿宋" w:eastAsia="仿宋" w:cs="宋体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5万元</w:t>
            </w:r>
          </w:p>
        </w:tc>
        <w:tc>
          <w:tcPr>
            <w:tcW w:w="1132" w:type="dxa"/>
          </w:tcPr>
          <w:p>
            <w:pPr>
              <w:rPr>
                <w:rFonts w:ascii="仿宋" w:hAnsi="仿宋" w:eastAsia="仿宋"/>
                <w:kern w:val="0"/>
                <w:sz w:val="20"/>
                <w:szCs w:val="21"/>
              </w:rPr>
            </w:pPr>
          </w:p>
          <w:p>
            <w:pPr>
              <w:rPr>
                <w:rFonts w:ascii="仿宋" w:hAnsi="仿宋" w:eastAsia="仿宋"/>
                <w:kern w:val="0"/>
                <w:sz w:val="20"/>
                <w:szCs w:val="21"/>
              </w:rPr>
            </w:pPr>
          </w:p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</w:rPr>
              <w:t>入编后一次性提供住房补贴</w:t>
            </w:r>
            <w:r>
              <w:rPr>
                <w:rFonts w:ascii="仿宋" w:hAnsi="仿宋" w:eastAsia="仿宋"/>
                <w:kern w:val="0"/>
                <w:sz w:val="20"/>
                <w:szCs w:val="21"/>
              </w:rPr>
              <w:t>30</w:t>
            </w:r>
            <w:r>
              <w:rPr>
                <w:rFonts w:hint="eastAsia" w:ascii="仿宋" w:hAnsi="仿宋" w:eastAsia="仿宋"/>
                <w:kern w:val="0"/>
                <w:sz w:val="20"/>
                <w:szCs w:val="21"/>
              </w:rPr>
              <w:t>万元</w:t>
            </w:r>
          </w:p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759" w:type="dxa"/>
          </w:tcPr>
          <w:p>
            <w:pPr>
              <w:rPr>
                <w:rFonts w:ascii="仿宋" w:hAnsi="仿宋" w:eastAsia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具有</w:t>
            </w: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高级职称的，到校后即聘任为相应职称，无高级职称的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，工作</w:t>
            </w: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满一年经考核合格后，参加副教授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评审</w:t>
            </w: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，通过后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授予</w:t>
            </w: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资格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及正式</w:t>
            </w: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聘任</w:t>
            </w:r>
          </w:p>
        </w:tc>
        <w:tc>
          <w:tcPr>
            <w:tcW w:w="1159" w:type="dxa"/>
          </w:tcPr>
          <w:p>
            <w:pPr>
              <w:rPr>
                <w:rFonts w:ascii="仿宋" w:hAnsi="仿宋" w:eastAsia="仿宋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382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备注</w:t>
            </w:r>
          </w:p>
        </w:tc>
        <w:tc>
          <w:tcPr>
            <w:tcW w:w="1257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1.博士</w:t>
            </w: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专项津贴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享受3年</w:t>
            </w: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。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2.成果</w:t>
            </w: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必须是近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5年取得的</w:t>
            </w: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。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3.服务期原则上不少于8年，服务期5年-</w:t>
            </w: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8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年的按照</w:t>
            </w: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上述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标准</w:t>
            </w: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进行折算</w:t>
            </w:r>
          </w:p>
        </w:tc>
      </w:tr>
    </w:tbl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新疆财经大学高层次人才引进基本条件及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待遇</w:t>
      </w:r>
      <w:bookmarkStart w:id="0" w:name="_GoBack"/>
      <w:bookmarkEnd w:id="0"/>
    </w:p>
    <w:sectPr>
      <w:pgSz w:w="16838" w:h="11906" w:orient="landscape"/>
      <w:pgMar w:top="1633" w:right="1440" w:bottom="1633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B63"/>
    <w:rsid w:val="001029CB"/>
    <w:rsid w:val="0010587A"/>
    <w:rsid w:val="001550D7"/>
    <w:rsid w:val="001A7439"/>
    <w:rsid w:val="001A7894"/>
    <w:rsid w:val="003B6B1A"/>
    <w:rsid w:val="003F05E8"/>
    <w:rsid w:val="0044445B"/>
    <w:rsid w:val="00490627"/>
    <w:rsid w:val="0049365D"/>
    <w:rsid w:val="004B1B86"/>
    <w:rsid w:val="00562FC9"/>
    <w:rsid w:val="00574D60"/>
    <w:rsid w:val="00654820"/>
    <w:rsid w:val="00697388"/>
    <w:rsid w:val="00824F5A"/>
    <w:rsid w:val="008527A0"/>
    <w:rsid w:val="008619FD"/>
    <w:rsid w:val="00880480"/>
    <w:rsid w:val="00902BC5"/>
    <w:rsid w:val="00974EA3"/>
    <w:rsid w:val="00A52C16"/>
    <w:rsid w:val="00AA3DB1"/>
    <w:rsid w:val="00AE1073"/>
    <w:rsid w:val="00B61996"/>
    <w:rsid w:val="00B700EC"/>
    <w:rsid w:val="00DA298A"/>
    <w:rsid w:val="00DE1B63"/>
    <w:rsid w:val="04DE6875"/>
    <w:rsid w:val="13F540AE"/>
    <w:rsid w:val="4A774FC6"/>
    <w:rsid w:val="5DA0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uiPriority w:val="99"/>
    <w:rPr>
      <w:color w:val="0000FF"/>
      <w:u w:val="single"/>
    </w:rPr>
  </w:style>
  <w:style w:type="table" w:styleId="9">
    <w:name w:val="Table Grid"/>
    <w:basedOn w:val="8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字符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眉 字符"/>
    <w:basedOn w:val="6"/>
    <w:link w:val="4"/>
    <w:uiPriority w:val="99"/>
    <w:rPr>
      <w:sz w:val="18"/>
      <w:szCs w:val="18"/>
    </w:rPr>
  </w:style>
  <w:style w:type="character" w:customStyle="1" w:styleId="13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9A721F-7CE6-42F6-A827-E9A860B2837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554</Words>
  <Characters>3164</Characters>
  <Lines>26</Lines>
  <Paragraphs>7</Paragraphs>
  <TotalTime>2</TotalTime>
  <ScaleCrop>false</ScaleCrop>
  <LinksUpToDate>false</LinksUpToDate>
  <CharactersWithSpaces>3711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2019-01-30T02:48:00Z</dcterms:created>
  <dc:creator>Users</dc:creator>
  <cp:lastModifiedBy>秘书科</cp:lastModifiedBy>
  <cp:lastPrinted>2019-01-31T04:34:00Z</cp:lastPrinted>
  <dcterms:modified xsi:type="dcterms:W3CDTF">2019-01-31T07:30:24Z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