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新疆财经大学高层次人才引进基本条件及待遇</w:t>
      </w:r>
    </w:p>
    <w:tbl>
      <w:tblPr>
        <w:tblStyle w:val="8"/>
        <w:tblW w:w="15735" w:type="dxa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74"/>
        <w:gridCol w:w="6662"/>
        <w:gridCol w:w="2268"/>
        <w:gridCol w:w="1276"/>
        <w:gridCol w:w="1417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引进对象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、校内基础津贴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博士专项津贴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等）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科研配套经费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安家费（免税）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待遇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配偶工作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入编制</w:t>
            </w:r>
            <w:r>
              <w:rPr>
                <w:rFonts w:ascii="仿宋" w:hAnsi="仿宋" w:eastAsia="仿宋"/>
                <w:b/>
                <w:szCs w:val="21"/>
              </w:rPr>
              <w:t>引进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三</w:t>
            </w:r>
            <w:r>
              <w:rPr>
                <w:rFonts w:ascii="仿宋" w:hAnsi="仿宋" w:eastAsia="仿宋" w:cs="宋体"/>
                <w:kern w:val="0"/>
                <w:szCs w:val="21"/>
              </w:rPr>
              <w:t>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学科带头人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具有正高级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50周岁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核心期刊论文7篇，其中重要及以上核心期刊论文3篇。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中国高校人文社会科学研究成果奖三等奖（个人排名第一）；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教学名师奖获得者；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教学成果奖一等奖获得者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省部级哲学社会科学优秀成果一等奖（个人排名第一）；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自然科学优秀学术论文奖一等奖(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25万元起/年（博士</w:t>
            </w:r>
            <w:r>
              <w:rPr>
                <w:rFonts w:ascii="仿宋" w:hAnsi="仿宋" w:eastAsia="仿宋"/>
                <w:szCs w:val="21"/>
              </w:rPr>
              <w:t>专项津贴</w:t>
            </w:r>
            <w:r>
              <w:rPr>
                <w:rFonts w:hint="eastAsia" w:ascii="仿宋" w:hAnsi="仿宋" w:eastAsia="仿宋"/>
                <w:szCs w:val="21"/>
              </w:rPr>
              <w:t>15万元）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20万元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55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第四层次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学术带头人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具有副高级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原则上不超过45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项或</w:t>
            </w:r>
            <w:r>
              <w:rPr>
                <w:rFonts w:ascii="仿宋" w:hAnsi="仿宋" w:eastAsia="仿宋" w:cs="宋体"/>
                <w:kern w:val="0"/>
                <w:szCs w:val="21"/>
              </w:rPr>
              <w:t>省部级项目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核心期刊论文6篇；其中重要及以上核心期刊论文2篇。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2.获省部级科学技术奖三等奖（个人排名第一）；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.省部级教学</w:t>
            </w:r>
            <w:r>
              <w:rPr>
                <w:rFonts w:ascii="仿宋" w:hAnsi="仿宋" w:eastAsia="仿宋" w:cs="宋体"/>
                <w:kern w:val="0"/>
                <w:szCs w:val="21"/>
              </w:rPr>
              <w:t>成果奖二等奖获得者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青年教师奖获得者；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自然科学优秀学术论文二等奖(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22万元起/年 （博士专项</w:t>
            </w:r>
            <w:r>
              <w:rPr>
                <w:rFonts w:ascii="仿宋" w:hAnsi="仿宋" w:eastAsia="仿宋"/>
                <w:szCs w:val="21"/>
              </w:rPr>
              <w:t>津贴</w:t>
            </w:r>
            <w:r>
              <w:rPr>
                <w:rFonts w:hint="eastAsia" w:ascii="仿宋" w:hAnsi="仿宋" w:eastAsia="仿宋"/>
                <w:szCs w:val="21"/>
              </w:rPr>
              <w:t>12万元）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45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备注：</w:t>
            </w:r>
          </w:p>
        </w:tc>
        <w:tc>
          <w:tcPr>
            <w:tcW w:w="14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1.博士</w:t>
            </w:r>
            <w:r>
              <w:rPr>
                <w:rFonts w:ascii="仿宋" w:hAnsi="仿宋" w:eastAsia="仿宋" w:cs="宋体"/>
                <w:kern w:val="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享受3年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2.成果</w:t>
            </w:r>
            <w:r>
              <w:rPr>
                <w:rFonts w:ascii="仿宋" w:hAnsi="仿宋" w:eastAsia="仿宋" w:cs="宋体"/>
                <w:kern w:val="0"/>
                <w:szCs w:val="21"/>
              </w:rPr>
              <w:t>必须是近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5年取得的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3.服务期原则上不少于8年，服务期5年-</w:t>
            </w:r>
            <w:r>
              <w:rPr>
                <w:rFonts w:ascii="仿宋" w:hAnsi="仿宋" w:eastAsia="仿宋" w:cs="宋体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年的按照</w:t>
            </w:r>
            <w:r>
              <w:rPr>
                <w:rFonts w:ascii="仿宋" w:hAnsi="仿宋" w:eastAsia="仿宋" w:cs="宋体"/>
                <w:kern w:val="0"/>
                <w:szCs w:val="21"/>
              </w:rPr>
              <w:t>上述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标准</w:t>
            </w:r>
            <w:r>
              <w:rPr>
                <w:rFonts w:ascii="仿宋" w:hAnsi="仿宋" w:eastAsia="仿宋" w:cs="宋体"/>
                <w:kern w:val="0"/>
                <w:szCs w:val="21"/>
              </w:rPr>
              <w:t>进行折算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35C69CA"/>
    <w:rsid w:val="04DE6875"/>
    <w:rsid w:val="13F540AE"/>
    <w:rsid w:val="4A7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秘书科</cp:lastModifiedBy>
  <cp:lastPrinted>2019-01-31T04:34:00Z</cp:lastPrinted>
  <dcterms:modified xsi:type="dcterms:W3CDTF">2019-01-31T07:30:05Z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