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28"/>
          <w:szCs w:val="28"/>
          <w:lang w:val="en-US" w:eastAsia="zh-CN"/>
        </w:rPr>
      </w:pPr>
      <w:bookmarkStart w:id="0" w:name="_GoBack"/>
      <w:r>
        <w:rPr>
          <w:rFonts w:hint="eastAsia"/>
          <w:b/>
          <w:bCs/>
          <w:sz w:val="28"/>
          <w:szCs w:val="28"/>
          <w:lang w:val="en-US" w:eastAsia="zh-CN"/>
        </w:rPr>
        <w:t>百色学院人才引进政策</w:t>
      </w:r>
    </w:p>
    <w:bookmarkEnd w:id="0"/>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p>
    <w:tbl>
      <w:tblPr>
        <w:tblStyle w:val="10"/>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531"/>
        <w:gridCol w:w="1234"/>
        <w:gridCol w:w="1065"/>
        <w:gridCol w:w="968"/>
        <w:gridCol w:w="968"/>
        <w:gridCol w:w="109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vAlign w:val="center"/>
          </w:tcPr>
          <w:p>
            <w:pPr>
              <w:spacing w:line="400" w:lineRule="exact"/>
              <w:jc w:val="center"/>
              <w:rPr>
                <w:rFonts w:ascii="宋体" w:hAnsi="宋体" w:eastAsia="宋体"/>
                <w:b/>
                <w:bCs/>
                <w:szCs w:val="21"/>
              </w:rPr>
            </w:pPr>
            <w:r>
              <w:rPr>
                <w:rFonts w:hint="eastAsia" w:ascii="宋体" w:hAnsi="宋体" w:eastAsia="宋体"/>
                <w:b/>
                <w:bCs/>
                <w:szCs w:val="21"/>
              </w:rPr>
              <w:t>序号</w:t>
            </w:r>
          </w:p>
        </w:tc>
        <w:tc>
          <w:tcPr>
            <w:tcW w:w="1531" w:type="dxa"/>
            <w:vAlign w:val="center"/>
          </w:tcPr>
          <w:p>
            <w:pPr>
              <w:spacing w:line="400" w:lineRule="exact"/>
              <w:jc w:val="center"/>
              <w:rPr>
                <w:rFonts w:ascii="宋体" w:hAnsi="宋体" w:eastAsia="宋体"/>
                <w:b/>
                <w:bCs/>
                <w:szCs w:val="21"/>
              </w:rPr>
            </w:pPr>
            <w:r>
              <w:rPr>
                <w:rFonts w:hint="eastAsia" w:ascii="宋体" w:hAnsi="宋体" w:eastAsia="宋体"/>
                <w:b/>
                <w:bCs/>
                <w:szCs w:val="21"/>
              </w:rPr>
              <w:t>引进人员类别</w:t>
            </w:r>
          </w:p>
        </w:tc>
        <w:tc>
          <w:tcPr>
            <w:tcW w:w="1234" w:type="dxa"/>
            <w:vAlign w:val="center"/>
          </w:tcPr>
          <w:p>
            <w:pPr>
              <w:spacing w:line="400" w:lineRule="exact"/>
              <w:jc w:val="center"/>
              <w:rPr>
                <w:rFonts w:ascii="宋体" w:hAnsi="宋体" w:eastAsia="宋体"/>
                <w:b/>
                <w:bCs/>
                <w:szCs w:val="21"/>
              </w:rPr>
            </w:pPr>
            <w:r>
              <w:rPr>
                <w:rFonts w:hint="eastAsia" w:ascii="宋体" w:hAnsi="宋体" w:eastAsia="宋体"/>
                <w:b/>
                <w:bCs/>
                <w:szCs w:val="21"/>
                <w:lang w:val="en-US" w:eastAsia="zh-CN"/>
              </w:rPr>
              <w:t>年薪</w:t>
            </w:r>
            <w:r>
              <w:rPr>
                <w:rFonts w:hint="eastAsia" w:ascii="宋体" w:hAnsi="宋体" w:eastAsia="宋体"/>
                <w:b/>
                <w:bCs/>
                <w:szCs w:val="21"/>
              </w:rPr>
              <w:t>（税前）</w:t>
            </w:r>
          </w:p>
        </w:tc>
        <w:tc>
          <w:tcPr>
            <w:tcW w:w="1065" w:type="dxa"/>
            <w:vAlign w:val="center"/>
          </w:tcPr>
          <w:p>
            <w:pPr>
              <w:spacing w:line="400" w:lineRule="exact"/>
              <w:jc w:val="center"/>
              <w:rPr>
                <w:rFonts w:ascii="宋体" w:hAnsi="宋体" w:eastAsia="宋体"/>
                <w:b/>
                <w:bCs/>
                <w:szCs w:val="21"/>
              </w:rPr>
            </w:pPr>
            <w:r>
              <w:rPr>
                <w:rFonts w:hint="eastAsia" w:ascii="宋体" w:hAnsi="宋体" w:eastAsia="宋体"/>
                <w:b/>
                <w:bCs/>
                <w:szCs w:val="21"/>
              </w:rPr>
              <w:t>年龄要求</w:t>
            </w:r>
          </w:p>
        </w:tc>
        <w:tc>
          <w:tcPr>
            <w:tcW w:w="968" w:type="dxa"/>
            <w:vAlign w:val="center"/>
          </w:tcPr>
          <w:p>
            <w:pPr>
              <w:spacing w:line="400" w:lineRule="exact"/>
              <w:jc w:val="center"/>
              <w:rPr>
                <w:rFonts w:hint="eastAsia" w:ascii="宋体" w:hAnsi="宋体" w:eastAsia="宋体"/>
                <w:b/>
                <w:bCs/>
                <w:szCs w:val="21"/>
                <w:lang w:val="en-US" w:eastAsia="zh-CN"/>
              </w:rPr>
            </w:pPr>
            <w:r>
              <w:rPr>
                <w:rFonts w:hint="eastAsia" w:ascii="宋体" w:hAnsi="宋体" w:eastAsia="宋体"/>
                <w:b/>
                <w:bCs/>
                <w:szCs w:val="21"/>
                <w:lang w:val="en-US" w:eastAsia="zh-CN"/>
              </w:rPr>
              <w:t>服务年限</w:t>
            </w:r>
          </w:p>
        </w:tc>
        <w:tc>
          <w:tcPr>
            <w:tcW w:w="968" w:type="dxa"/>
            <w:vAlign w:val="center"/>
          </w:tcPr>
          <w:p>
            <w:pPr>
              <w:spacing w:line="400" w:lineRule="exact"/>
              <w:jc w:val="center"/>
              <w:rPr>
                <w:rFonts w:ascii="宋体" w:hAnsi="宋体" w:eastAsia="宋体"/>
                <w:b/>
                <w:bCs/>
                <w:szCs w:val="21"/>
              </w:rPr>
            </w:pPr>
            <w:r>
              <w:rPr>
                <w:rFonts w:hint="eastAsia" w:ascii="宋体" w:hAnsi="宋体" w:eastAsia="宋体"/>
                <w:b/>
                <w:bCs/>
                <w:szCs w:val="21"/>
              </w:rPr>
              <w:t>科研启动经费</w:t>
            </w:r>
          </w:p>
        </w:tc>
        <w:tc>
          <w:tcPr>
            <w:tcW w:w="1092" w:type="dxa"/>
            <w:vAlign w:val="center"/>
          </w:tcPr>
          <w:p>
            <w:pPr>
              <w:spacing w:line="400" w:lineRule="exact"/>
              <w:jc w:val="center"/>
              <w:rPr>
                <w:rFonts w:ascii="宋体" w:hAnsi="宋体" w:eastAsia="宋体"/>
                <w:b/>
                <w:bCs/>
                <w:szCs w:val="21"/>
              </w:rPr>
            </w:pPr>
            <w:r>
              <w:rPr>
                <w:rFonts w:hint="eastAsia" w:ascii="宋体" w:hAnsi="宋体" w:eastAsia="宋体"/>
                <w:b/>
                <w:bCs/>
                <w:szCs w:val="21"/>
              </w:rPr>
              <w:t>工作电脑</w:t>
            </w:r>
          </w:p>
        </w:tc>
        <w:tc>
          <w:tcPr>
            <w:tcW w:w="1065" w:type="dxa"/>
            <w:vAlign w:val="center"/>
          </w:tcPr>
          <w:p>
            <w:pPr>
              <w:spacing w:line="400" w:lineRule="exact"/>
              <w:jc w:val="center"/>
              <w:rPr>
                <w:rFonts w:ascii="宋体" w:hAnsi="宋体" w:eastAsia="宋体"/>
                <w:b/>
                <w:bCs/>
                <w:szCs w:val="21"/>
              </w:rPr>
            </w:pPr>
            <w:r>
              <w:rPr>
                <w:rFonts w:hint="eastAsia" w:ascii="宋体" w:hAnsi="宋体" w:eastAsia="宋体"/>
                <w:b/>
                <w:bCs/>
                <w:szCs w:val="21"/>
              </w:rPr>
              <w:t>家属安置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1</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国家杰出青年科学基金获得者、享受国务院特殊津贴专家、全国高校教学名师、“国家高层次人才特殊支持计划”（简称“国家特支计划”，也称“万人计划”）入选者、“海外高层次人才引进计划”（简称“千人计划”） 入选者、省部级学术和技术带头人、省部级有突出贡献的优秀专家</w:t>
            </w:r>
          </w:p>
        </w:tc>
        <w:tc>
          <w:tcPr>
            <w:tcW w:w="1234" w:type="dxa"/>
            <w:vAlign w:val="center"/>
          </w:tcPr>
          <w:p>
            <w:pPr>
              <w:spacing w:line="300" w:lineRule="exact"/>
              <w:jc w:val="both"/>
              <w:rPr>
                <w:rFonts w:ascii="宋体" w:hAnsi="宋体" w:eastAsia="宋体"/>
                <w:szCs w:val="21"/>
              </w:rPr>
            </w:pPr>
            <w:r>
              <w:rPr>
                <w:rFonts w:hint="eastAsia" w:ascii="宋体" w:hAnsi="宋体" w:eastAsia="宋体"/>
                <w:szCs w:val="21"/>
                <w:lang w:val="en-US" w:eastAsia="zh-CN"/>
              </w:rPr>
              <w:t>30-45</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hint="eastAsia" w:ascii="宋体" w:hAnsi="宋体" w:eastAsia="宋体"/>
                <w:szCs w:val="21"/>
                <w:lang w:val="en-US" w:eastAsia="zh-CN"/>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2</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教育部“高校青年教师奖”获得者、教育部“新世纪优秀人才支持计划”入选者、省级高校教学名师、省部级学术和技术带头人后备人选</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29-44</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hint="eastAsia" w:ascii="宋体" w:hAnsi="宋体" w:eastAsia="宋体"/>
                <w:szCs w:val="21"/>
              </w:rPr>
            </w:pPr>
          </w:p>
          <w:p>
            <w:pPr>
              <w:spacing w:line="300" w:lineRule="exact"/>
              <w:jc w:val="center"/>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3</w:t>
            </w:r>
          </w:p>
        </w:tc>
        <w:tc>
          <w:tcPr>
            <w:tcW w:w="1531" w:type="dxa"/>
            <w:vAlign w:val="center"/>
          </w:tcPr>
          <w:p>
            <w:pPr>
              <w:spacing w:line="300" w:lineRule="exact"/>
              <w:jc w:val="left"/>
              <w:rPr>
                <w:rFonts w:ascii="宋体" w:hAnsi="宋体" w:eastAsia="宋体"/>
                <w:szCs w:val="21"/>
              </w:rPr>
            </w:pPr>
            <w:r>
              <w:rPr>
                <w:rFonts w:hint="eastAsia" w:ascii="宋体" w:hAnsi="宋体" w:eastAsia="宋体"/>
                <w:szCs w:val="21"/>
              </w:rPr>
              <w:t>教育部“优秀青年教师资助计划”、“高等学校骨干教师资助计划”资助者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28-43</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p>
        </w:tc>
        <w:tc>
          <w:tcPr>
            <w:tcW w:w="1531" w:type="dxa"/>
            <w:vAlign w:val="center"/>
          </w:tcPr>
          <w:p>
            <w:pPr>
              <w:spacing w:line="300" w:lineRule="exact"/>
              <w:jc w:val="left"/>
              <w:rPr>
                <w:rFonts w:ascii="宋体" w:hAnsi="宋体" w:eastAsia="宋体"/>
                <w:szCs w:val="21"/>
              </w:rPr>
            </w:pPr>
            <w:r>
              <w:rPr>
                <w:rFonts w:ascii="宋体" w:hAnsi="宋体" w:cs="Arial"/>
                <w:spacing w:val="20"/>
                <w:szCs w:val="21"/>
              </w:rPr>
              <w:t>同时具有教授</w:t>
            </w:r>
            <w:r>
              <w:rPr>
                <w:rFonts w:hint="eastAsia" w:ascii="宋体" w:hAnsi="宋体" w:cs="Arial"/>
                <w:spacing w:val="20"/>
                <w:szCs w:val="21"/>
              </w:rPr>
              <w:t>（或</w:t>
            </w:r>
            <w:r>
              <w:rPr>
                <w:rFonts w:ascii="宋体" w:hAnsi="宋体" w:cs="Arial"/>
                <w:spacing w:val="20"/>
                <w:szCs w:val="21"/>
              </w:rPr>
              <w:t>相当专业</w:t>
            </w:r>
            <w:r>
              <w:rPr>
                <w:rFonts w:hint="eastAsia" w:ascii="宋体" w:hAnsi="宋体" w:cs="Arial"/>
                <w:spacing w:val="20"/>
                <w:szCs w:val="21"/>
              </w:rPr>
              <w:t>技术职务）和博士研究生学历并获得博士学位者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28-42</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p>
        </w:tc>
        <w:tc>
          <w:tcPr>
            <w:tcW w:w="1531" w:type="dxa"/>
            <w:vAlign w:val="center"/>
          </w:tcPr>
          <w:p>
            <w:pPr>
              <w:spacing w:line="300" w:lineRule="exact"/>
              <w:rPr>
                <w:rFonts w:ascii="宋体" w:hAnsi="宋体" w:eastAsia="宋体"/>
                <w:szCs w:val="21"/>
              </w:rPr>
            </w:pPr>
            <w:r>
              <w:rPr>
                <w:rFonts w:ascii="宋体" w:hAnsi="宋体" w:cs="Arial"/>
                <w:spacing w:val="20"/>
                <w:szCs w:val="21"/>
              </w:rPr>
              <w:t>具有教授</w:t>
            </w:r>
            <w:r>
              <w:rPr>
                <w:rFonts w:hint="eastAsia" w:ascii="宋体" w:hAnsi="宋体" w:cs="Arial"/>
                <w:spacing w:val="20"/>
                <w:szCs w:val="21"/>
              </w:rPr>
              <w:t>（或</w:t>
            </w:r>
            <w:r>
              <w:rPr>
                <w:rFonts w:ascii="宋体" w:hAnsi="宋体" w:cs="Arial"/>
                <w:spacing w:val="20"/>
                <w:szCs w:val="21"/>
              </w:rPr>
              <w:t>相当专业技术职务</w:t>
            </w:r>
            <w:r>
              <w:rPr>
                <w:rFonts w:hint="eastAsia" w:ascii="宋体" w:hAnsi="宋体" w:cs="Arial"/>
                <w:spacing w:val="20"/>
                <w:szCs w:val="21"/>
              </w:rPr>
              <w:t>）</w:t>
            </w:r>
            <w:r>
              <w:rPr>
                <w:rFonts w:ascii="宋体" w:hAnsi="宋体" w:cs="Arial"/>
                <w:spacing w:val="20"/>
                <w:szCs w:val="21"/>
              </w:rPr>
              <w:t>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28-41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lang w:val="en-US" w:eastAsia="zh-CN"/>
              </w:rPr>
              <w:t>60</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6</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具有行业工作经历的高级工程师或相当专业技术职务</w:t>
            </w:r>
            <w:r>
              <w:rPr>
                <w:rFonts w:ascii="宋体" w:hAnsi="宋体" w:cs="Arial"/>
                <w:spacing w:val="20"/>
                <w:szCs w:val="21"/>
              </w:rPr>
              <w:t>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22-32</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7</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具有副教授及相当专业技术职务和博士研究生学历并获得博士学位者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21-31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both"/>
              <w:rPr>
                <w:rFonts w:hint="eastAsia"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5</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8</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紧缺专业的博士研究生学历并获得博士学位者</w:t>
            </w:r>
          </w:p>
        </w:tc>
        <w:tc>
          <w:tcPr>
            <w:tcW w:w="1234" w:type="dxa"/>
            <w:vAlign w:val="center"/>
          </w:tcPr>
          <w:p>
            <w:pPr>
              <w:spacing w:line="300" w:lineRule="exact"/>
              <w:jc w:val="center"/>
              <w:rPr>
                <w:rFonts w:ascii="宋体" w:hAnsi="宋体" w:eastAsia="宋体"/>
                <w:szCs w:val="21"/>
              </w:rPr>
            </w:pPr>
            <w:r>
              <w:rPr>
                <w:rFonts w:hint="eastAsia" w:ascii="宋体" w:hAnsi="宋体" w:eastAsia="宋体"/>
                <w:szCs w:val="21"/>
                <w:lang w:val="en-US" w:eastAsia="zh-CN"/>
              </w:rPr>
              <w:t>20-31</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59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9</w:t>
            </w:r>
          </w:p>
        </w:tc>
        <w:tc>
          <w:tcPr>
            <w:tcW w:w="1531" w:type="dxa"/>
            <w:vAlign w:val="center"/>
          </w:tcPr>
          <w:p>
            <w:pPr>
              <w:spacing w:line="300" w:lineRule="exact"/>
              <w:rPr>
                <w:rFonts w:ascii="宋体" w:hAnsi="宋体" w:eastAsia="宋体"/>
                <w:szCs w:val="21"/>
              </w:rPr>
            </w:pPr>
            <w:r>
              <w:rPr>
                <w:rFonts w:hint="eastAsia" w:ascii="宋体" w:hAnsi="宋体" w:cs="Arial"/>
                <w:spacing w:val="20"/>
                <w:szCs w:val="21"/>
              </w:rPr>
              <w:t>博士研究生学历并获得博士学位者</w:t>
            </w:r>
          </w:p>
        </w:tc>
        <w:tc>
          <w:tcPr>
            <w:tcW w:w="1234" w:type="dxa"/>
            <w:vAlign w:val="center"/>
          </w:tcPr>
          <w:p>
            <w:pPr>
              <w:spacing w:line="300" w:lineRule="exact"/>
              <w:jc w:val="both"/>
              <w:rPr>
                <w:rFonts w:hint="eastAsia" w:ascii="宋体" w:hAnsi="宋体" w:eastAsia="宋体"/>
                <w:szCs w:val="21"/>
                <w:lang w:val="en-US" w:eastAsia="zh-CN"/>
              </w:rPr>
            </w:pPr>
          </w:p>
          <w:p>
            <w:pPr>
              <w:spacing w:line="300" w:lineRule="exact"/>
              <w:jc w:val="center"/>
              <w:rPr>
                <w:rFonts w:ascii="宋体" w:hAnsi="宋体" w:eastAsia="宋体"/>
                <w:szCs w:val="21"/>
              </w:rPr>
            </w:pPr>
            <w:r>
              <w:rPr>
                <w:rFonts w:hint="eastAsia" w:ascii="宋体" w:hAnsi="宋体" w:eastAsia="宋体"/>
                <w:szCs w:val="21"/>
                <w:lang w:val="en-US" w:eastAsia="zh-CN"/>
              </w:rPr>
              <w:t>20-30</w:t>
            </w:r>
            <w:r>
              <w:rPr>
                <w:rFonts w:hint="eastAsia" w:ascii="宋体" w:hAnsi="宋体" w:eastAsia="宋体"/>
                <w:szCs w:val="21"/>
              </w:rPr>
              <w:t>万元</w:t>
            </w:r>
          </w:p>
        </w:tc>
        <w:tc>
          <w:tcPr>
            <w:tcW w:w="1065" w:type="dxa"/>
            <w:vAlign w:val="top"/>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both"/>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4</w:t>
            </w:r>
            <w:r>
              <w:rPr>
                <w:rFonts w:hint="eastAsia" w:ascii="宋体" w:hAnsi="宋体" w:eastAsia="宋体"/>
                <w:szCs w:val="21"/>
                <w:lang w:val="en-US" w:eastAsia="zh-CN"/>
              </w:rPr>
              <w:t>5</w:t>
            </w:r>
            <w:r>
              <w:rPr>
                <w:rFonts w:hint="eastAsia" w:ascii="宋体" w:hAnsi="宋体" w:eastAsia="宋体"/>
                <w:szCs w:val="21"/>
              </w:rPr>
              <w:t>岁以下</w:t>
            </w:r>
          </w:p>
        </w:tc>
        <w:tc>
          <w:tcPr>
            <w:tcW w:w="968" w:type="dxa"/>
            <w:vAlign w:val="center"/>
          </w:tcPr>
          <w:p>
            <w:pPr>
              <w:spacing w:line="300" w:lineRule="exact"/>
              <w:jc w:val="center"/>
              <w:rPr>
                <w:rFonts w:hint="eastAsia" w:ascii="宋体" w:hAnsi="宋体" w:eastAsia="宋体"/>
                <w:szCs w:val="21"/>
              </w:rPr>
            </w:pPr>
            <w:r>
              <w:rPr>
                <w:rFonts w:hint="eastAsia" w:ascii="宋体" w:hAnsi="宋体" w:eastAsia="宋体"/>
                <w:szCs w:val="21"/>
                <w:lang w:val="en-US" w:eastAsia="zh-CN"/>
              </w:rPr>
              <w:t>1-8年（具体年限可协商）</w:t>
            </w:r>
          </w:p>
        </w:tc>
        <w:tc>
          <w:tcPr>
            <w:tcW w:w="968" w:type="dxa"/>
            <w:vAlign w:val="center"/>
          </w:tcPr>
          <w:p>
            <w:pPr>
              <w:spacing w:line="300" w:lineRule="exact"/>
              <w:jc w:val="center"/>
              <w:rPr>
                <w:rFonts w:ascii="宋体" w:hAnsi="宋体" w:eastAsia="宋体"/>
                <w:szCs w:val="21"/>
              </w:rPr>
            </w:pPr>
            <w:r>
              <w:rPr>
                <w:rFonts w:hint="eastAsia" w:ascii="宋体" w:hAnsi="宋体" w:eastAsia="宋体"/>
                <w:szCs w:val="21"/>
              </w:rPr>
              <w:t>理工类</w:t>
            </w:r>
            <w:r>
              <w:rPr>
                <w:rFonts w:hint="eastAsia" w:ascii="宋体" w:hAnsi="宋体" w:eastAsia="宋体"/>
                <w:szCs w:val="21"/>
                <w:lang w:val="en-US" w:eastAsia="zh-CN"/>
              </w:rPr>
              <w:t>1.2</w:t>
            </w:r>
            <w:r>
              <w:rPr>
                <w:rFonts w:hint="eastAsia" w:ascii="宋体" w:hAnsi="宋体" w:eastAsia="宋体"/>
                <w:szCs w:val="21"/>
              </w:rPr>
              <w:t>万元</w:t>
            </w:r>
            <w:r>
              <w:rPr>
                <w:rFonts w:hint="eastAsia" w:ascii="宋体" w:hAnsi="宋体" w:eastAsia="宋体"/>
                <w:szCs w:val="21"/>
                <w:lang w:val="en-US" w:eastAsia="zh-CN"/>
              </w:rPr>
              <w:t>/年</w:t>
            </w:r>
            <w:r>
              <w:rPr>
                <w:rFonts w:hint="eastAsia" w:ascii="宋体" w:hAnsi="宋体" w:eastAsia="宋体"/>
                <w:szCs w:val="21"/>
              </w:rPr>
              <w:t>；人文社科类</w:t>
            </w:r>
            <w:r>
              <w:rPr>
                <w:rFonts w:hint="eastAsia" w:ascii="宋体" w:hAnsi="宋体" w:eastAsia="宋体"/>
                <w:szCs w:val="21"/>
                <w:lang w:val="en-US" w:eastAsia="zh-CN"/>
              </w:rPr>
              <w:t>0.8</w:t>
            </w:r>
            <w:r>
              <w:rPr>
                <w:rFonts w:hint="eastAsia" w:ascii="宋体" w:hAnsi="宋体" w:eastAsia="宋体"/>
                <w:szCs w:val="21"/>
              </w:rPr>
              <w:t>万元</w:t>
            </w:r>
            <w:r>
              <w:rPr>
                <w:rFonts w:hint="eastAsia" w:ascii="宋体" w:hAnsi="宋体" w:eastAsia="宋体"/>
                <w:szCs w:val="21"/>
                <w:lang w:val="en-US" w:eastAsia="zh-CN"/>
              </w:rPr>
              <w:t>/年</w:t>
            </w:r>
          </w:p>
        </w:tc>
        <w:tc>
          <w:tcPr>
            <w:tcW w:w="1092" w:type="dxa"/>
            <w:vAlign w:val="center"/>
          </w:tcPr>
          <w:p>
            <w:pPr>
              <w:spacing w:line="300" w:lineRule="exact"/>
              <w:jc w:val="center"/>
              <w:rPr>
                <w:rFonts w:ascii="宋体" w:hAnsi="宋体" w:eastAsia="宋体"/>
                <w:szCs w:val="21"/>
              </w:rPr>
            </w:pPr>
            <w:r>
              <w:rPr>
                <w:rFonts w:hint="eastAsia" w:ascii="宋体" w:hAnsi="宋体" w:eastAsia="宋体"/>
                <w:szCs w:val="21"/>
              </w:rPr>
              <w:t>1台（所有权属学校）</w:t>
            </w:r>
          </w:p>
        </w:tc>
        <w:tc>
          <w:tcPr>
            <w:tcW w:w="1065" w:type="dxa"/>
            <w:vAlign w:val="center"/>
          </w:tcPr>
          <w:p>
            <w:pPr>
              <w:spacing w:line="300" w:lineRule="exact"/>
              <w:jc w:val="center"/>
              <w:rPr>
                <w:rFonts w:ascii="宋体" w:hAnsi="宋体" w:eastAsia="宋体"/>
                <w:szCs w:val="21"/>
              </w:rPr>
            </w:pPr>
            <w:r>
              <w:rPr>
                <w:rFonts w:hint="eastAsia" w:ascii="宋体" w:hAnsi="宋体" w:eastAsia="宋体"/>
                <w:szCs w:val="21"/>
                <w:lang w:eastAsia="zh-CN"/>
              </w:rPr>
              <w:t>服务期为</w:t>
            </w:r>
            <w:r>
              <w:rPr>
                <w:rFonts w:hint="eastAsia" w:ascii="宋体" w:hAnsi="宋体" w:eastAsia="宋体"/>
                <w:szCs w:val="21"/>
                <w:lang w:val="en-US" w:eastAsia="zh-CN"/>
              </w:rPr>
              <w:t>5年或8年，原则上</w:t>
            </w:r>
            <w:r>
              <w:rPr>
                <w:rFonts w:hint="eastAsia" w:ascii="宋体" w:hAnsi="宋体" w:eastAsia="宋体"/>
                <w:szCs w:val="21"/>
              </w:rPr>
              <w:t>可安排配偶到学校工作</w:t>
            </w:r>
            <w:r>
              <w:rPr>
                <w:rFonts w:hint="eastAsia" w:ascii="宋体" w:hAnsi="宋体" w:eastAsia="宋体"/>
                <w:szCs w:val="21"/>
                <w:lang w:eastAsia="zh-CN"/>
              </w:rPr>
              <w:t>；服务期为</w:t>
            </w:r>
            <w:r>
              <w:rPr>
                <w:rFonts w:hint="eastAsia" w:ascii="宋体" w:hAnsi="宋体" w:eastAsia="宋体"/>
                <w:szCs w:val="21"/>
                <w:lang w:val="en-US" w:eastAsia="zh-CN"/>
              </w:rPr>
              <w:t>3年及以下，原则上不安排配偶到学校工作</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sz w:val="24"/>
          <w:szCs w:val="24"/>
          <w:lang w:val="en-US" w:eastAsia="zh-CN"/>
        </w:rPr>
      </w:pPr>
      <w:r>
        <w:rPr>
          <w:rFonts w:hint="eastAsia"/>
          <w:b/>
          <w:bCs/>
          <w:sz w:val="24"/>
          <w:szCs w:val="24"/>
          <w:lang w:val="en-US" w:eastAsia="zh-CN"/>
        </w:rPr>
        <w:t>注：</w:t>
      </w:r>
      <w:r>
        <w:rPr>
          <w:rFonts w:hint="eastAsia"/>
          <w:sz w:val="24"/>
          <w:szCs w:val="24"/>
          <w:lang w:val="en-US" w:eastAsia="zh-CN"/>
        </w:rPr>
        <w:t>1.以上薪资待遇均为税前数额，且含五险一金个人部分。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2.年薪均由正常薪资和额外薪资组成。正常薪资包括财政工资、奖励性绩效和绩效奖励。额外薪资包括固定额外薪资和非固定额外薪资，其中固定额外薪资包括安家费、个人发展保障金和高层次人才津贴；非固定额外薪资包括“双师型”教师津贴、学术带头人津贴、学科带头人津贴和研究生导师津贴等。如学校今后有调整则按调整后的标准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3.学校按上级相关文件规定进行发放正常薪资。服务期内学校以一定比例按月发放固定额外薪资，服务期满后按教学、科研任务等完成情况进行一次性结算发放。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4.港澳台籍高层次人才的科研启动经费作为科研补贴纳入固定额外薪资，按月发放。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5.学校将根据实际发展需要在不同阶段进行评审确认紧缺专业，具体以学校下文为准。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b/>
          <w:bCs/>
          <w:sz w:val="24"/>
          <w:szCs w:val="24"/>
          <w:lang w:val="en-US" w:eastAsia="zh-CN"/>
        </w:rPr>
      </w:pPr>
      <w:r>
        <w:rPr>
          <w:rFonts w:hint="eastAsia"/>
          <w:b/>
          <w:bCs/>
          <w:sz w:val="24"/>
          <w:szCs w:val="24"/>
          <w:lang w:val="en-US" w:eastAsia="zh-CN"/>
        </w:rPr>
        <w:t>科研奖励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1.科研项目获得立项或专利以《百色学院科研工作量管理办法(试行)》规定执行。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2.科研论文按照刊物级别，给予2000元至100000元不等的奖励。</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b/>
          <w:bCs/>
          <w:sz w:val="24"/>
          <w:szCs w:val="24"/>
          <w:lang w:val="en-US" w:eastAsia="zh-CN"/>
        </w:rPr>
      </w:pPr>
      <w:r>
        <w:rPr>
          <w:rFonts w:hint="eastAsia"/>
          <w:b/>
          <w:bCs/>
          <w:sz w:val="24"/>
          <w:szCs w:val="24"/>
          <w:lang w:val="en-US" w:eastAsia="zh-CN"/>
        </w:rPr>
        <w:t>人才工程资助平台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sz w:val="24"/>
          <w:szCs w:val="24"/>
          <w:lang w:val="en-US" w:eastAsia="zh-CN"/>
        </w:rPr>
      </w:pPr>
      <w:r>
        <w:rPr>
          <w:rFonts w:hint="eastAsia"/>
          <w:sz w:val="24"/>
          <w:szCs w:val="24"/>
          <w:lang w:val="en-US" w:eastAsia="zh-CN"/>
        </w:rPr>
        <w:t>学校实施“名师工程”、“骨干教师发展工程”、“青年教师成长工程”、“特色研究团队支持计划”、“双师型教师培养计划”等人才工程，以强大的资金大力支持教师的学术研究，保障人才队伍建设的良性发展。有关资助事项如下：</w:t>
      </w:r>
    </w:p>
    <w:tbl>
      <w:tblPr>
        <w:tblStyle w:val="10"/>
        <w:tblpPr w:leftFromText="180" w:rightFromText="180" w:vertAnchor="text" w:horzAnchor="page" w:tblpX="1852" w:tblpY="485"/>
        <w:tblOverlap w:val="never"/>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420"/>
        <w:gridCol w:w="27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19"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项目名称</w:t>
            </w:r>
          </w:p>
        </w:tc>
        <w:tc>
          <w:tcPr>
            <w:tcW w:w="3420"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资助条件</w:t>
            </w:r>
          </w:p>
        </w:tc>
        <w:tc>
          <w:tcPr>
            <w:tcW w:w="2700"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资助经费</w:t>
            </w:r>
          </w:p>
        </w:tc>
        <w:tc>
          <w:tcPr>
            <w:tcW w:w="870"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519"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名师工程</w:t>
            </w:r>
          </w:p>
        </w:tc>
        <w:tc>
          <w:tcPr>
            <w:tcW w:w="342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具有正高级职称，年龄55周岁以下，满足规定的科研条件</w:t>
            </w:r>
          </w:p>
        </w:tc>
        <w:tc>
          <w:tcPr>
            <w:tcW w:w="270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10万元</w:t>
            </w:r>
          </w:p>
        </w:tc>
        <w:tc>
          <w:tcPr>
            <w:tcW w:w="870" w:type="dxa"/>
            <w:vMerge w:val="restart"/>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其他详情请咨询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519"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骨干教师发展工程</w:t>
            </w:r>
          </w:p>
        </w:tc>
        <w:tc>
          <w:tcPr>
            <w:tcW w:w="342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具有副高级职称，年龄50周岁以下，满足规定的科研条件</w:t>
            </w:r>
          </w:p>
        </w:tc>
        <w:tc>
          <w:tcPr>
            <w:tcW w:w="270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6万元</w:t>
            </w:r>
          </w:p>
        </w:tc>
        <w:tc>
          <w:tcPr>
            <w:tcW w:w="870" w:type="dxa"/>
            <w:vMerge w:val="continue"/>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19"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青年教师成长工程</w:t>
            </w:r>
          </w:p>
        </w:tc>
        <w:tc>
          <w:tcPr>
            <w:tcW w:w="342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具有中级职称，年龄35周岁以下，满足规定的科研条件</w:t>
            </w:r>
          </w:p>
        </w:tc>
        <w:tc>
          <w:tcPr>
            <w:tcW w:w="270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2万元</w:t>
            </w:r>
          </w:p>
        </w:tc>
        <w:tc>
          <w:tcPr>
            <w:tcW w:w="870" w:type="dxa"/>
            <w:vMerge w:val="continue"/>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519"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特色研究团队支持计划</w:t>
            </w:r>
          </w:p>
        </w:tc>
        <w:tc>
          <w:tcPr>
            <w:tcW w:w="3420" w:type="dxa"/>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以现有自治区级重点学科、重点研究基地（中心）、重点实验室等为依托组建，满足规定的科研条件。</w:t>
            </w:r>
          </w:p>
        </w:tc>
        <w:tc>
          <w:tcPr>
            <w:tcW w:w="270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每个团队20万元</w:t>
            </w:r>
          </w:p>
        </w:tc>
        <w:tc>
          <w:tcPr>
            <w:tcW w:w="870" w:type="dxa"/>
            <w:vMerge w:val="continue"/>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19"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双师型教师培养计划</w:t>
            </w:r>
          </w:p>
        </w:tc>
        <w:tc>
          <w:tcPr>
            <w:tcW w:w="342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具有大学本科及以上学历和讲师职称，满足规定的条件</w:t>
            </w:r>
          </w:p>
        </w:tc>
        <w:tc>
          <w:tcPr>
            <w:tcW w:w="2700" w:type="dxa"/>
            <w:vAlign w:val="center"/>
          </w:tcPr>
          <w:p>
            <w:pPr>
              <w:spacing w:line="300" w:lineRule="exact"/>
              <w:jc w:val="center"/>
              <w:rPr>
                <w:rFonts w:hint="eastAsia" w:ascii="宋体" w:hAnsi="宋体" w:eastAsia="宋体" w:cs="宋体"/>
                <w:sz w:val="24"/>
              </w:rPr>
            </w:pPr>
            <w:r>
              <w:rPr>
                <w:rFonts w:hint="eastAsia" w:ascii="宋体" w:hAnsi="宋体" w:eastAsia="宋体" w:cs="宋体"/>
                <w:sz w:val="24"/>
              </w:rPr>
              <w:t>学校资助双师型教师的培训费用：区内0.6万元，区外1万元</w:t>
            </w:r>
          </w:p>
        </w:tc>
        <w:tc>
          <w:tcPr>
            <w:tcW w:w="870" w:type="dxa"/>
            <w:vMerge w:val="continue"/>
            <w:vAlign w:val="center"/>
          </w:tcPr>
          <w:p>
            <w:pPr>
              <w:spacing w:line="300" w:lineRule="exact"/>
              <w:jc w:val="center"/>
              <w:rPr>
                <w:rFonts w:hint="eastAsia" w:ascii="宋体" w:hAnsi="宋体" w:eastAsia="宋体" w:cs="宋体"/>
                <w:sz w:val="24"/>
              </w:rPr>
            </w:pPr>
          </w:p>
        </w:tc>
      </w:tr>
    </w:tbl>
    <w:p>
      <w:pPr>
        <w:rPr>
          <w:rFonts w:hint="eastAsia" w:ascii="宋体" w:hAnsi="宋体" w:eastAsia="宋体" w:cs="宋体"/>
          <w:b/>
          <w:bCs/>
          <w:color w:val="00000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D0587"/>
    <w:rsid w:val="001643CE"/>
    <w:rsid w:val="004773F8"/>
    <w:rsid w:val="00AD120E"/>
    <w:rsid w:val="01A676D4"/>
    <w:rsid w:val="04F80954"/>
    <w:rsid w:val="05503245"/>
    <w:rsid w:val="05996A30"/>
    <w:rsid w:val="06A400D2"/>
    <w:rsid w:val="073137BB"/>
    <w:rsid w:val="085662A2"/>
    <w:rsid w:val="086704A0"/>
    <w:rsid w:val="09110EE7"/>
    <w:rsid w:val="0A82230D"/>
    <w:rsid w:val="0A8D0587"/>
    <w:rsid w:val="0ADC45DB"/>
    <w:rsid w:val="0B596A57"/>
    <w:rsid w:val="0CC271A9"/>
    <w:rsid w:val="0EBE50F0"/>
    <w:rsid w:val="12F91A35"/>
    <w:rsid w:val="13766F70"/>
    <w:rsid w:val="13F21AA9"/>
    <w:rsid w:val="146C3BD0"/>
    <w:rsid w:val="1B2B4131"/>
    <w:rsid w:val="1BC7063B"/>
    <w:rsid w:val="1CA41E4D"/>
    <w:rsid w:val="1D05682F"/>
    <w:rsid w:val="1F6B27E4"/>
    <w:rsid w:val="20454497"/>
    <w:rsid w:val="20C22F36"/>
    <w:rsid w:val="21200E55"/>
    <w:rsid w:val="21A46A88"/>
    <w:rsid w:val="21AB241B"/>
    <w:rsid w:val="21EA5464"/>
    <w:rsid w:val="220479C8"/>
    <w:rsid w:val="24CB5DE6"/>
    <w:rsid w:val="24DE4D48"/>
    <w:rsid w:val="24ED1783"/>
    <w:rsid w:val="24F72EC0"/>
    <w:rsid w:val="25584638"/>
    <w:rsid w:val="268B7FFE"/>
    <w:rsid w:val="26A70395"/>
    <w:rsid w:val="279E7315"/>
    <w:rsid w:val="29686BE9"/>
    <w:rsid w:val="2B0F029F"/>
    <w:rsid w:val="2CEE051B"/>
    <w:rsid w:val="2D891063"/>
    <w:rsid w:val="2D914606"/>
    <w:rsid w:val="2DAC2CB9"/>
    <w:rsid w:val="2E2E7787"/>
    <w:rsid w:val="2FED464B"/>
    <w:rsid w:val="3387721E"/>
    <w:rsid w:val="33BF024B"/>
    <w:rsid w:val="34874C8F"/>
    <w:rsid w:val="366E0218"/>
    <w:rsid w:val="370015EA"/>
    <w:rsid w:val="39BA65D2"/>
    <w:rsid w:val="3A074556"/>
    <w:rsid w:val="3ABF38A8"/>
    <w:rsid w:val="3BE46857"/>
    <w:rsid w:val="3CC35E52"/>
    <w:rsid w:val="3F160708"/>
    <w:rsid w:val="400B1FEA"/>
    <w:rsid w:val="418E42DC"/>
    <w:rsid w:val="42EC055D"/>
    <w:rsid w:val="42F807D7"/>
    <w:rsid w:val="43F81027"/>
    <w:rsid w:val="4BAE017C"/>
    <w:rsid w:val="4C236799"/>
    <w:rsid w:val="4CD13D52"/>
    <w:rsid w:val="4D885621"/>
    <w:rsid w:val="4E144601"/>
    <w:rsid w:val="515A6A84"/>
    <w:rsid w:val="51680621"/>
    <w:rsid w:val="57CA01BC"/>
    <w:rsid w:val="58483A8D"/>
    <w:rsid w:val="5C574A7C"/>
    <w:rsid w:val="5CC442F7"/>
    <w:rsid w:val="5CF66751"/>
    <w:rsid w:val="5E9022D4"/>
    <w:rsid w:val="5F1A7860"/>
    <w:rsid w:val="60DE7EA3"/>
    <w:rsid w:val="60FF7EE5"/>
    <w:rsid w:val="624524D3"/>
    <w:rsid w:val="6315515A"/>
    <w:rsid w:val="6350096F"/>
    <w:rsid w:val="65E30A5C"/>
    <w:rsid w:val="66633400"/>
    <w:rsid w:val="66C0551A"/>
    <w:rsid w:val="67C25DCD"/>
    <w:rsid w:val="68705A1C"/>
    <w:rsid w:val="6B8408D7"/>
    <w:rsid w:val="6D3070D0"/>
    <w:rsid w:val="6D535020"/>
    <w:rsid w:val="70A83FD6"/>
    <w:rsid w:val="76416635"/>
    <w:rsid w:val="7A2F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2018-06-27T02:52:00Z</dcterms:created>
  <dc:creator>筱筱云</dc:creator>
  <cp:lastModifiedBy>韦宝拉</cp:lastModifiedBy>
  <cp:lastPrinted>2018-09-11T02:35:00Z</cp:lastPrinted>
  <dcterms:modified xsi:type="dcterms:W3CDTF">2018-09-15T14:02:17Z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